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187"/>
        </w:trPr>
        <w:tc>
          <w:tcPr>
            <w:tcW w:w="29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82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5049 Edwards Ranch Rd., 4</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76109</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2940" w:type="dxa"/>
            <w:vAlign w:val="bottom"/>
          </w:tcPr>
          <w:p>
            <w:pPr>
              <w:spacing w:after="0"/>
              <w:rPr>
                <w:sz w:val="24"/>
                <w:szCs w:val="24"/>
                <w:color w:val="auto"/>
              </w:rPr>
            </w:pPr>
          </w:p>
        </w:tc>
        <w:tc>
          <w:tcPr>
            <w:tcW w:w="45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(737) 787-3798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SEGG</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8"/>
        </w:trPr>
        <w:tc>
          <w:tcPr>
            <w:tcW w:w="4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w:t>
            </w:r>
          </w:p>
        </w:tc>
        <w:tc>
          <w:tcPr>
            <w:tcW w:w="2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LTRYW</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 an exercise price of $2,300.00</w:t>
            </w: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 Election of Directors.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On February 25, 2026, the Board of Directors (the “Board”) of Sports Entertainment Gaming Global Corporation (the “Company”) appointed </w:t>
      </w:r>
      <w:r>
        <w:rPr>
          <w:rFonts w:ascii="Times New Roman" w:cs="Times New Roman" w:eastAsia="Times New Roman" w:hAnsi="Times New Roman"/>
          <w:sz w:val="18"/>
          <w:szCs w:val="18"/>
          <w:b w:val="1"/>
          <w:bCs w:val="1"/>
          <w:color w:val="auto"/>
        </w:rPr>
        <w:t>Robert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Stubblefield and Daniel Bailey </w:t>
      </w:r>
      <w:r>
        <w:rPr>
          <w:rFonts w:ascii="Times New Roman" w:cs="Times New Roman" w:eastAsia="Times New Roman" w:hAnsi="Times New Roman"/>
          <w:sz w:val="18"/>
          <w:szCs w:val="18"/>
          <w:color w:val="auto"/>
        </w:rPr>
        <w:t>to serve as members of the Board.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Stubblefield was appointed as a Class II director with a term expiring at the Company’s 2027 annual meeting of stockholders or until his successor is duly elected and qualified. Mr. Bailey was appointed as a Class III director with a term expiring at the Company’s 2028 annual meeting of stockholders or until his successor is duly elected and qualified.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Stubblefield currently serves as the Company’s Chief Financial Officer and Interim Chief Executive Officer and President. He has extensive experience in corporate finance, public company governance, capital markets execution, and strategic transaction management. Since joining the Company, Mr. Stubblefield has overseen capital structure initiatives, acquisition integration processes, and operational alignment efforts supporting the Company’s transition to a focused sports, entertainment, and gaming platform.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Mr. Stubblefield’s financial leadership and operational continuity will further support disciplined capital allocation and execution of the Company’s acquisition-driven growth strategy.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Bailey is the CEO of Veloce Media Group (“Veloce”), a leading global digital motorsport and gaming media platform in which the Company recently acquired a controlling interest. Mr. Bailey brings substantial experience across digital content strategy, esports operations, commercial partnerships, and international brand expansion. During his tenure at Veloce, he has played a central role in scaling global sponsorship relationships, expanding competitive racing platforms, and driving audience growth across key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Mr. Bailey’s operating expertise and direct knowledge of Veloce’s global platform will support the Company’s integration efforts and its broader strategy of building scalable, revenue-generating sports and entertainment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February 23, 2026. Mr. Bailey was a party to the Share Purchase Agreement entered into in connection with the Company’s acquisition of a controlling interest in Veloce. Pursuant to that agreement, Mr. Bailey received consideration in connection with the sale of his equity interests in Veloce. The transaction constituted a related party transaction under Item 404(a) of Regulation S-K and was disclosed in such prior filing. The Company does not have any additional related party transactions with Mr. Bailey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2026-03-02T14:37:45Z</dcterms:created>
  <dcterms:modified xsi:type="dcterms:W3CDTF">2026-03-02T14:37:45Z</dcterms:modified>
</cp:coreProperties>
</file>